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1ACC4">
      <w:pPr>
        <w:keepNext w:val="0"/>
        <w:keepLines w:val="0"/>
        <w:pageBreakBefore w:val="0"/>
        <w:kinsoku/>
        <w:wordWrap/>
        <w:overflowPunct/>
        <w:topLinePunct w:val="0"/>
        <w:autoSpaceDE/>
        <w:autoSpaceDN/>
        <w:bidi w:val="0"/>
        <w:adjustRightInd/>
        <w:spacing w:line="580" w:lineRule="exact"/>
        <w:ind w:left="0" w:leftChars="0" w:firstLine="880" w:firstLineChars="200"/>
        <w:textAlignment w:val="auto"/>
        <w:rPr>
          <w:rFonts w:ascii="仿宋_GB2312" w:eastAsia="仿宋_GB2312"/>
          <w:sz w:val="44"/>
          <w:szCs w:val="44"/>
        </w:rPr>
      </w:pPr>
    </w:p>
    <w:p w14:paraId="353533AE">
      <w:pPr>
        <w:keepNext w:val="0"/>
        <w:keepLines w:val="0"/>
        <w:pageBreakBefore w:val="0"/>
        <w:kinsoku/>
        <w:wordWrap/>
        <w:overflowPunct/>
        <w:topLinePunct w:val="0"/>
        <w:autoSpaceDE/>
        <w:autoSpaceDN/>
        <w:bidi w:val="0"/>
        <w:adjustRightInd/>
        <w:spacing w:line="580" w:lineRule="exact"/>
        <w:ind w:left="0" w:leftChars="0" w:firstLine="880" w:firstLineChars="200"/>
        <w:textAlignment w:val="auto"/>
        <w:rPr>
          <w:rFonts w:ascii="仿宋_GB2312" w:eastAsia="仿宋_GB2312"/>
          <w:sz w:val="44"/>
          <w:szCs w:val="44"/>
        </w:rPr>
      </w:pPr>
    </w:p>
    <w:p w14:paraId="4C52D934">
      <w:pPr>
        <w:keepNext w:val="0"/>
        <w:keepLines w:val="0"/>
        <w:pageBreakBefore w:val="0"/>
        <w:kinsoku/>
        <w:wordWrap/>
        <w:overflowPunct/>
        <w:topLinePunct w:val="0"/>
        <w:autoSpaceDE/>
        <w:autoSpaceDN/>
        <w:bidi w:val="0"/>
        <w:adjustRightInd/>
        <w:spacing w:line="580" w:lineRule="exact"/>
        <w:ind w:left="0" w:leftChars="0" w:firstLine="880" w:firstLineChars="200"/>
        <w:textAlignment w:val="auto"/>
        <w:rPr>
          <w:rFonts w:ascii="仿宋_GB2312" w:eastAsia="仿宋_GB2312"/>
          <w:sz w:val="44"/>
          <w:szCs w:val="44"/>
        </w:rPr>
      </w:pPr>
    </w:p>
    <w:p w14:paraId="2FDA9ADC">
      <w:pPr>
        <w:keepNext w:val="0"/>
        <w:keepLines w:val="0"/>
        <w:pageBreakBefore w:val="0"/>
        <w:kinsoku/>
        <w:wordWrap/>
        <w:overflowPunct/>
        <w:topLinePunct w:val="0"/>
        <w:autoSpaceDE/>
        <w:autoSpaceDN/>
        <w:bidi w:val="0"/>
        <w:adjustRightInd/>
        <w:spacing w:line="580" w:lineRule="exact"/>
        <w:ind w:left="0" w:leftChars="0" w:firstLine="880" w:firstLineChars="200"/>
        <w:textAlignment w:val="auto"/>
        <w:rPr>
          <w:rFonts w:ascii="仿宋_GB2312" w:eastAsia="仿宋_GB2312"/>
          <w:sz w:val="44"/>
          <w:szCs w:val="44"/>
        </w:rPr>
      </w:pPr>
    </w:p>
    <w:p w14:paraId="33A06239">
      <w:pPr>
        <w:keepNext w:val="0"/>
        <w:keepLines w:val="0"/>
        <w:pageBreakBefore w:val="0"/>
        <w:kinsoku/>
        <w:wordWrap/>
        <w:overflowPunct/>
        <w:topLinePunct w:val="0"/>
        <w:autoSpaceDE/>
        <w:autoSpaceDN/>
        <w:bidi w:val="0"/>
        <w:adjustRightInd/>
        <w:spacing w:line="580" w:lineRule="exact"/>
        <w:ind w:left="0" w:leftChars="0" w:firstLine="880" w:firstLineChars="200"/>
        <w:textAlignment w:val="auto"/>
        <w:rPr>
          <w:rFonts w:hint="default" w:ascii="Times New Roman Regular" w:hAnsi="Times New Roman Regular" w:eastAsia="仿宋_GB2312" w:cs="Times New Roman Regular"/>
          <w:color w:val="auto"/>
          <w:sz w:val="44"/>
          <w:szCs w:val="44"/>
          <w:highlight w:val="none"/>
        </w:rPr>
      </w:pPr>
    </w:p>
    <w:p w14:paraId="2246BC23">
      <w:pPr>
        <w:keepNext w:val="0"/>
        <w:keepLines w:val="0"/>
        <w:pageBreakBefore w:val="0"/>
        <w:kinsoku/>
        <w:wordWrap/>
        <w:overflowPunct/>
        <w:topLinePunct w:val="0"/>
        <w:autoSpaceDE/>
        <w:autoSpaceDN/>
        <w:bidi w:val="0"/>
        <w:adjustRightInd/>
        <w:spacing w:line="580" w:lineRule="exact"/>
        <w:ind w:left="0" w:leftChars="0" w:firstLine="880" w:firstLineChars="200"/>
        <w:textAlignment w:val="auto"/>
        <w:rPr>
          <w:rFonts w:hint="default" w:ascii="Times New Roman Regular" w:hAnsi="Times New Roman Regular" w:eastAsia="仿宋_GB2312" w:cs="Times New Roman Regular"/>
          <w:color w:val="auto"/>
          <w:sz w:val="44"/>
          <w:szCs w:val="44"/>
          <w:highlight w:val="none"/>
        </w:rPr>
      </w:pPr>
    </w:p>
    <w:p w14:paraId="11E99146">
      <w:pPr>
        <w:keepNext w:val="0"/>
        <w:keepLines w:val="0"/>
        <w:pageBreakBefore w:val="0"/>
        <w:kinsoku/>
        <w:wordWrap/>
        <w:overflowPunct/>
        <w:topLinePunct w:val="0"/>
        <w:autoSpaceDE/>
        <w:autoSpaceDN/>
        <w:bidi w:val="0"/>
        <w:adjustRightInd/>
        <w:spacing w:line="580" w:lineRule="exact"/>
        <w:ind w:left="0" w:leftChars="0" w:firstLine="880" w:firstLineChars="200"/>
        <w:textAlignment w:val="auto"/>
        <w:rPr>
          <w:rFonts w:hint="default" w:ascii="Times New Roman Regular" w:hAnsi="Times New Roman Regular" w:eastAsia="仿宋_GB2312" w:cs="Times New Roman Regular"/>
          <w:color w:val="auto"/>
          <w:sz w:val="44"/>
          <w:szCs w:val="44"/>
          <w:highlight w:val="none"/>
        </w:rPr>
      </w:pPr>
    </w:p>
    <w:p w14:paraId="686C397C">
      <w:pPr>
        <w:keepNext w:val="0"/>
        <w:keepLines w:val="0"/>
        <w:pageBreakBefore w:val="0"/>
        <w:kinsoku/>
        <w:wordWrap/>
        <w:overflowPunct/>
        <w:topLinePunct w:val="0"/>
        <w:autoSpaceDE/>
        <w:autoSpaceDN/>
        <w:bidi w:val="0"/>
        <w:adjustRightInd/>
        <w:spacing w:line="580" w:lineRule="exact"/>
        <w:ind w:left="0" w:leftChars="0" w:firstLine="880" w:firstLineChars="200"/>
        <w:textAlignment w:val="auto"/>
        <w:rPr>
          <w:rFonts w:hint="default" w:ascii="Times New Roman Regular" w:hAnsi="Times New Roman Regular" w:eastAsia="仿宋_GB2312" w:cs="Times New Roman Regular"/>
          <w:color w:val="auto"/>
          <w:sz w:val="44"/>
          <w:szCs w:val="44"/>
          <w:highlight w:val="none"/>
        </w:rPr>
      </w:pPr>
    </w:p>
    <w:p w14:paraId="45A5F4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cs="Times New Roman"/>
          <w:sz w:val="44"/>
          <w:szCs w:val="44"/>
          <w:highlight w:val="none"/>
          <w:lang w:val="en-US" w:eastAsia="zh-CN"/>
        </w:rPr>
      </w:pPr>
      <w:r>
        <w:rPr>
          <w:rFonts w:hint="default" w:ascii="宋体" w:hAnsi="宋体" w:eastAsia="宋体" w:cs="Times New Roman"/>
          <w:sz w:val="44"/>
          <w:szCs w:val="44"/>
          <w:highlight w:val="none"/>
          <w:lang w:eastAsia="zh-CN"/>
        </w:rPr>
        <w:t>深圳市</w:t>
      </w:r>
      <w:r>
        <w:rPr>
          <w:rFonts w:hint="eastAsia" w:cs="Times New Roman"/>
          <w:sz w:val="44"/>
          <w:szCs w:val="44"/>
          <w:highlight w:val="none"/>
          <w:lang w:val="en-US" w:eastAsia="zh-CN"/>
        </w:rPr>
        <w:t>第二实验学校</w:t>
      </w:r>
    </w:p>
    <w:p w14:paraId="49E9DD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pPr>
      <w:r>
        <w:rPr>
          <w:rFonts w:ascii="宋体" w:hAnsi="宋体" w:eastAsia="宋体" w:cs="Times New Roman"/>
          <w:sz w:val="44"/>
          <w:szCs w:val="44"/>
          <w:highlight w:val="none"/>
        </w:rPr>
        <w:t>2023年度部门整体支出绩效自评报告</w:t>
      </w:r>
    </w:p>
    <w:p w14:paraId="6A381D7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Regular" w:hAnsi="Times New Roman Regular" w:eastAsia="宋体" w:cs="Times New Roman Regular"/>
          <w:color w:val="auto"/>
          <w:sz w:val="44"/>
          <w:szCs w:val="44"/>
          <w:highlight w:val="none"/>
        </w:rPr>
      </w:pPr>
    </w:p>
    <w:p w14:paraId="15257173">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Regular" w:hAnsi="Times New Roman Regular" w:eastAsia="仿宋_GB2312" w:cs="Times New Roman Regular"/>
          <w:color w:val="auto"/>
          <w:sz w:val="32"/>
          <w:szCs w:val="32"/>
          <w:highlight w:val="none"/>
        </w:rPr>
      </w:pPr>
    </w:p>
    <w:p w14:paraId="0794D43D">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Regular" w:hAnsi="Times New Roman Regular" w:eastAsia="仿宋_GB2312" w:cs="Times New Roman Regular"/>
          <w:color w:val="auto"/>
          <w:sz w:val="32"/>
          <w:szCs w:val="32"/>
          <w:highlight w:val="none"/>
        </w:rPr>
      </w:pPr>
    </w:p>
    <w:p w14:paraId="4603216A">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Regular" w:hAnsi="Times New Roman Regular" w:eastAsia="仿宋_GB2312" w:cs="Times New Roman Regular"/>
          <w:color w:val="auto"/>
          <w:sz w:val="32"/>
          <w:szCs w:val="32"/>
          <w:highlight w:val="none"/>
        </w:rPr>
      </w:pPr>
    </w:p>
    <w:p w14:paraId="033565D8">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Regular" w:hAnsi="Times New Roman Regular" w:eastAsia="仿宋_GB2312" w:cs="Times New Roman Regular"/>
          <w:color w:val="auto"/>
          <w:sz w:val="32"/>
          <w:szCs w:val="32"/>
          <w:highlight w:val="none"/>
        </w:rPr>
      </w:pPr>
    </w:p>
    <w:p w14:paraId="453E25DD">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Regular" w:hAnsi="Times New Roman Regular" w:eastAsia="仿宋_GB2312" w:cs="Times New Roman Regular"/>
          <w:color w:val="auto"/>
          <w:sz w:val="32"/>
          <w:szCs w:val="32"/>
          <w:highlight w:val="none"/>
        </w:rPr>
      </w:pPr>
    </w:p>
    <w:p w14:paraId="330CA090">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Regular" w:hAnsi="Times New Roman Regular" w:eastAsia="仿宋_GB2312" w:cs="Times New Roman Regular"/>
          <w:color w:val="auto"/>
          <w:sz w:val="32"/>
          <w:szCs w:val="32"/>
          <w:highlight w:val="none"/>
        </w:rPr>
      </w:pPr>
    </w:p>
    <w:p w14:paraId="7CB88CD3">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Regular" w:hAnsi="Times New Roman Regular" w:eastAsia="仿宋_GB2312" w:cs="Times New Roman Regular"/>
          <w:color w:val="auto"/>
          <w:sz w:val="32"/>
          <w:szCs w:val="32"/>
          <w:highlight w:val="none"/>
        </w:rPr>
      </w:pPr>
    </w:p>
    <w:p w14:paraId="004CA8EF">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Regular" w:hAnsi="Times New Roman Regular" w:eastAsia="仿宋_GB2312" w:cs="Times New Roman Regular"/>
          <w:color w:val="auto"/>
          <w:sz w:val="32"/>
          <w:szCs w:val="32"/>
          <w:highlight w:val="none"/>
        </w:rPr>
      </w:pPr>
    </w:p>
    <w:p w14:paraId="1F746F1B">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Regular" w:hAnsi="Times New Roman Regular" w:eastAsia="仿宋_GB2312" w:cs="Times New Roman Regular"/>
          <w:color w:val="auto"/>
          <w:sz w:val="32"/>
          <w:szCs w:val="32"/>
          <w:highlight w:val="none"/>
        </w:rPr>
      </w:pPr>
    </w:p>
    <w:p w14:paraId="69231666">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Regular" w:hAnsi="Times New Roman Regular" w:eastAsia="仿宋_GB2312" w:cs="Times New Roman Regular"/>
          <w:color w:val="auto"/>
          <w:sz w:val="32"/>
          <w:szCs w:val="32"/>
          <w:highlight w:val="none"/>
        </w:rPr>
      </w:pPr>
    </w:p>
    <w:p w14:paraId="51A5EF2B">
      <w:pPr>
        <w:keepNext w:val="0"/>
        <w:keepLines w:val="0"/>
        <w:pageBreakBefore w:val="0"/>
        <w:kinsoku/>
        <w:wordWrap/>
        <w:overflowPunct/>
        <w:topLinePunct w:val="0"/>
        <w:autoSpaceDE/>
        <w:autoSpaceDN/>
        <w:bidi w:val="0"/>
        <w:adjustRightInd/>
        <w:spacing w:line="58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rPr>
      </w:pPr>
    </w:p>
    <w:p w14:paraId="09E4F3B9">
      <w:pPr>
        <w:keepNext w:val="0"/>
        <w:keepLines w:val="0"/>
        <w:pageBreakBefore w:val="0"/>
        <w:kinsoku/>
        <w:wordWrap/>
        <w:overflowPunct/>
        <w:topLinePunct w:val="0"/>
        <w:autoSpaceDE/>
        <w:autoSpaceDN/>
        <w:bidi w:val="0"/>
        <w:adjustRightInd/>
        <w:spacing w:line="580" w:lineRule="exact"/>
        <w:ind w:left="0" w:leftChars="0" w:firstLine="640" w:firstLineChars="200"/>
        <w:jc w:val="center"/>
        <w:textAlignment w:val="auto"/>
        <w:rPr>
          <w:rFonts w:hint="default" w:ascii="Times New Roman Regular" w:hAnsi="Times New Roman Regular" w:eastAsia="仿宋_GB2312" w:cs="Times New Roman Regular"/>
          <w:color w:val="auto"/>
          <w:sz w:val="32"/>
          <w:szCs w:val="32"/>
          <w:highlight w:val="none"/>
        </w:rPr>
      </w:pPr>
    </w:p>
    <w:p w14:paraId="3FB7F042">
      <w:pPr>
        <w:keepNext w:val="0"/>
        <w:keepLines w:val="0"/>
        <w:pageBreakBefore w:val="0"/>
        <w:kinsoku/>
        <w:wordWrap/>
        <w:overflowPunct/>
        <w:topLinePunct w:val="0"/>
        <w:autoSpaceDE/>
        <w:autoSpaceDN/>
        <w:bidi w:val="0"/>
        <w:adjustRightInd/>
        <w:spacing w:line="580" w:lineRule="exact"/>
        <w:ind w:left="0" w:leftChars="0" w:firstLine="880" w:firstLineChars="200"/>
        <w:jc w:val="center"/>
        <w:textAlignment w:val="auto"/>
        <w:rPr>
          <w:rFonts w:hint="default" w:ascii="Times New Roman Regular" w:hAnsi="Times New Roman Regular" w:eastAsia="仿宋_GB2312" w:cs="Times New Roman Regular"/>
          <w:color w:val="auto"/>
          <w:sz w:val="44"/>
          <w:szCs w:val="44"/>
          <w:highlight w:val="none"/>
        </w:rPr>
      </w:pPr>
    </w:p>
    <w:p w14:paraId="41586EF8">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一、部门基本情况</w:t>
      </w:r>
    </w:p>
    <w:p w14:paraId="164E69B9">
      <w:pPr>
        <w:keepNext w:val="0"/>
        <w:keepLines w:val="0"/>
        <w:pageBreakBefore w:val="0"/>
        <w:numPr>
          <w:ilvl w:val="0"/>
          <w:numId w:val="1"/>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rPr>
      </w:pPr>
      <w:r>
        <w:rPr>
          <w:rFonts w:hint="eastAsia" w:ascii="仿宋_GB2312" w:hAnsi="Adobe 楷体 Std R" w:eastAsia="仿宋_GB2312"/>
          <w:b/>
          <w:bCs/>
          <w:color w:val="000000"/>
          <w:sz w:val="32"/>
          <w:szCs w:val="32"/>
        </w:rPr>
        <w:t>部门主要职能。</w:t>
      </w:r>
    </w:p>
    <w:p w14:paraId="632A65A5">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为深圳市教育局（以下简称“市局”）直属事业单位，主要职能是：贯彻落实国家、省、市教育方面的法律、法规和政策。实施初中义务教育、高中学历教育，促进基础教育发展。规范办学管理、实行教育教学改革，实施“五育互育”，落实五育并举。强化学校教师队伍建设工作，实施学校德育、法制教育、国防教育和体育卫生与艺术教育工作，落实学校安全管理责任。实施后勤规范化管理工作，开展校园软硬件建设，提升校园文化品位，加强智慧校园建设。开展教育帮扶与交流。承办市教育局和上级部门交办的其他事项。</w:t>
      </w:r>
    </w:p>
    <w:p w14:paraId="4392AB93">
      <w:pPr>
        <w:keepNext w:val="0"/>
        <w:keepLines w:val="0"/>
        <w:pageBreakBefore w:val="0"/>
        <w:numPr>
          <w:ilvl w:val="0"/>
          <w:numId w:val="1"/>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年度总体工作和重点工作任务。</w:t>
      </w:r>
    </w:p>
    <w:p w14:paraId="165850AA">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Adobe 楷体 Std R" w:eastAsia="仿宋_GB2312"/>
          <w:color w:val="000000"/>
          <w:sz w:val="32"/>
          <w:szCs w:val="32"/>
          <w:lang w:val="en-US" w:eastAsia="zh-CN"/>
        </w:rPr>
        <w:t>我校2023年度主要工作任务为：一是强化创新理论学习，实施五育互育促进全面发展；二是加强师德师风建设，优化教师评价和培训；三是强化行为习惯养成，切实提升德育实效；四是精细管理超强提升，天团专家示范引领；五是提速集团化办学和校园改造，建设高品位美丽校园。</w:t>
      </w:r>
    </w:p>
    <w:p w14:paraId="2D72DCBB">
      <w:pPr>
        <w:keepNext w:val="0"/>
        <w:keepLines w:val="0"/>
        <w:pageBreakBefore w:val="0"/>
        <w:numPr>
          <w:ilvl w:val="0"/>
          <w:numId w:val="1"/>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2023</w:t>
      </w:r>
      <w:r>
        <w:rPr>
          <w:rFonts w:hint="eastAsia" w:ascii="仿宋_GB2312" w:hAnsi="仿宋_GB2312" w:eastAsia="仿宋_GB2312" w:cs="仿宋_GB2312"/>
          <w:b/>
          <w:bCs/>
          <w:sz w:val="32"/>
          <w:szCs w:val="32"/>
        </w:rPr>
        <w:t>年部门预算编制情况。</w:t>
      </w:r>
    </w:p>
    <w:p w14:paraId="182ED25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1.预算编制合理性</w:t>
      </w:r>
    </w:p>
    <w:p w14:paraId="4D8B6D9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按照《深圳市财政局关于2023年市本级部门预算和2023—2025年中期财政规划编制工作安排的通知》（深财预〔2022〕103号）工作要求，结合我校中长期发展规划和年度工作计划开展预算编制工作。预算编制符合市财政2023年度有关预算编制的原则，如严控“三公”经费以及会议、差旅和培训等一般公务支出预算等，我校编制年度部门预算达到市财政对部门预算编制的细致程度要求。一是按照各部门各岗位的职责分工，紧扣工作计划和工作重点，细化项目经费预算编制任务。二是明确项目基本信息、项目总预算、申报依据、项目测算标准、测算过程，功能分类和经济分类编制准确，预算资金能根据年度工作重点，在不同项目、不同用途之间合理分配，部门预算分配不固化。三是对于出现支出进度慢、完成率低、绩效较差等问题的项目，不存在连年持续安排预算的情况。</w:t>
      </w:r>
    </w:p>
    <w:p w14:paraId="3C92AA3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（1）部门整体支出年初预算安排</w:t>
      </w:r>
    </w:p>
    <w:p w14:paraId="0D37EE9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2023年我校年初预算数为21,933.31万元，人员支出16,166万元、公用支出1,790万元、对个人和家庭的补助支出591万元、项目支出3,386万元。各类型资金年初预算安排如下所示：一是人员支出16,166万元，主要是在职人员基本工资以及机关事业单位基本养老保险缴费、职业年金缴费、职工基本医疗保险缴费、住房公积金等。二是公用支出1,790万元，主要包括办公费、水费、电费、邮电费、物业管理费、差旅费、维修（护）费、专用材料费、劳务费、工会经费、福利费、公务用车运行维护费、其他商品和服务支出。三是对个人和家庭补助支出591万元，主要包括：离退休人员经费等。四是项目支出3,386万元，具体包括教育费附加预算2,420万元，学校开办费预算23万元，上级转移支付项目预算34万元，教育教学支出预算789万元，</w:t>
      </w:r>
      <w:bookmarkStart w:id="0" w:name="_GoBack"/>
      <w:bookmarkEnd w:id="0"/>
      <w:r>
        <w:rPr>
          <w:rFonts w:hint="eastAsia" w:ascii="仿宋_GB2312" w:hAnsi="Adobe 楷体 Std R" w:eastAsia="仿宋_GB2312"/>
          <w:color w:val="000000"/>
          <w:sz w:val="32"/>
          <w:szCs w:val="32"/>
          <w:lang w:val="en-US" w:eastAsia="zh-CN"/>
        </w:rPr>
        <w:t>教育收费安排项目预算120万元。</w:t>
      </w:r>
    </w:p>
    <w:p w14:paraId="73F6785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（2）部门整体支出预算调整情况</w:t>
      </w:r>
    </w:p>
    <w:p w14:paraId="20C5FA3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Adobe 楷体 Std R" w:eastAsia="仿宋_GB2312"/>
          <w:color w:val="000000"/>
          <w:sz w:val="32"/>
          <w:szCs w:val="32"/>
          <w:lang w:val="en-US" w:eastAsia="zh-CN"/>
        </w:rPr>
        <w:t>根据2023年度履职需要，我校对当年部门预算进行了相应的调整，整体支出预算总规模调整为22,079.01万元。按资金来源，一般公共预算财政拨款收入调整为21,619.60万元；按资金用途，基本支出预算调整为18,404.77万元，项目支出预算调整为3,663.65万元。</w:t>
      </w:r>
    </w:p>
    <w:p w14:paraId="4020A97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2.预算编制规范性</w:t>
      </w:r>
    </w:p>
    <w:p w14:paraId="6E62516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按照《深圳市财政局关于2023年市本级部门预算和2023—2025年中期财政规划编制工作安排的通知》（深财预〔2022〕103号）的相关要求和规定编制本部门预算。在编制预算时，充分参考了此前年度项目预算与预算存在的相似性和差异性，做到科学合理、统筹兼顾、突出重点。预算申报和审批程序合规，预算编制整体内容完整，各项经费均有经费支出标准、数量依据、具体测算过程及相关文件为支撑，预算编制依据充足。</w:t>
      </w:r>
    </w:p>
    <w:p w14:paraId="0D4282D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3.绩效目标完整性</w:t>
      </w:r>
    </w:p>
    <w:p w14:paraId="62AE8A1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严格按照《深圳市本级预算绩效目标管理工作规程》《深圳市预算绩效管理实施办法》相关规定，将2023年度部门预算项目纳入预算绩效管理。在编制预算时，同步设置了部门整体绩效目标和所有项目支出绩效申报表，按要求编报部门整体和项目的绩效目标，实现绩效目标全覆盖。所有项目的绩效目标从产出、效益两个方面出发，将绩效目标细化分解为相应的绩效指标，明确每个项目的绩效指标内容、指标值，确保绩效指标能覆盖项目的各项业务工作。</w:t>
      </w:r>
    </w:p>
    <w:p w14:paraId="28397D4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4.绩效目标明确性</w:t>
      </w:r>
    </w:p>
    <w:p w14:paraId="6D0DE27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default" w:ascii="仿宋_GB2312" w:hAnsi="仿宋_GB2312" w:eastAsia="仿宋_GB2312" w:cs="仿宋_GB2312"/>
          <w:sz w:val="32"/>
          <w:szCs w:val="32"/>
          <w:lang w:val="en-US"/>
        </w:rPr>
      </w:pPr>
      <w:r>
        <w:rPr>
          <w:rFonts w:hint="eastAsia" w:ascii="仿宋_GB2312" w:hAnsi="Adobe 楷体 Std R" w:eastAsia="仿宋_GB2312"/>
          <w:color w:val="000000"/>
          <w:sz w:val="32"/>
          <w:szCs w:val="32"/>
          <w:lang w:val="en-US" w:eastAsia="zh-CN"/>
        </w:rPr>
        <w:t>我校根据上年度绩效评价结果不断更新和完善本部门2023年支出绩效目标。在编制2023年绩效指标时，从产出、效益方面，分解项目年度任务。将年度任务细化分解为相应的绩效指标，每条指标基于2023年预算资金用途设置，与预算资金量相匹配，且绩效指标明确、清晰、可衡量。包含能够体现单位履职效果的绩效指标。绩效指标的目标值根据相关标准、计划确定，符合客观实际情况。如部门整体支出绩效目标表中数量指标设置“培训工作开展场次”，指标值设置“≥5次”；质量指标设置“学生学业达标率”，指标值设置“≥90%”；社会效益指标设置“提升学生综合素养”，指标值设置“有效提升”。</w:t>
      </w:r>
    </w:p>
    <w:p w14:paraId="71DD103E">
      <w:pPr>
        <w:keepNext w:val="0"/>
        <w:keepLines w:val="0"/>
        <w:pageBreakBefore w:val="0"/>
        <w:numPr>
          <w:ilvl w:val="0"/>
          <w:numId w:val="1"/>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2023年部门预算执行情况。</w:t>
      </w:r>
    </w:p>
    <w:p w14:paraId="25B07402">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2023年度我校建立健全了部门内部管理制度，资金支出、项目管理较为规范，资产配置合理，财政供养人员无超编情况。具体情况如下：</w:t>
      </w:r>
    </w:p>
    <w:p w14:paraId="524994C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1.资金管理</w:t>
      </w:r>
    </w:p>
    <w:p w14:paraId="63BED0CE">
      <w:pPr>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（1）政府采购执行情况</w:t>
      </w:r>
    </w:p>
    <w:p w14:paraId="7752E83C">
      <w:pPr>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严格按照《自行采购项目招标工作（暂行）办法》文件开展采购工作，保障了政府采购政策功能的执行和落实。2023年我校申报的采购计划金额为1,734.47万元，实际采购金额为1,722.94万元，政府采购执行率为99.34%。</w:t>
      </w:r>
    </w:p>
    <w:p w14:paraId="657E1802">
      <w:pPr>
        <w:keepNext w:val="0"/>
        <w:keepLines w:val="0"/>
        <w:pageBreakBefore w:val="0"/>
        <w:numPr>
          <w:ilvl w:val="0"/>
          <w:numId w:val="2"/>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财务合规性</w:t>
      </w:r>
    </w:p>
    <w:p w14:paraId="6D3FD19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一是资金支出规范方面。我校严格按照《固定资产管理制度》《财务管理制度》资金管理、费用标准、支付符合财务管理办法规定，按事项完成进度支付资金。二是资金调整规范方面。2023年度我校部门整体支出年初预算数为21,933.31万元，年中根据部门实际履职工作开展需要，我校对部门整体支出预算进行了相应的调整，部门整体支出调整后预算为22,079.01万元，调整资金累计为我校部门预算总规模的0.66%。三是会计核算规范方面。我校规范执行会计核算制度，按规定设专账核算、支出凭证符合规定，不存在支出依据不合规或核算不规范的情况。四是我校不存在超范围、超标准支出、虚列项目支出、截留、挤占、挪用资金的，以及其他不符合制度规定支出的情况。</w:t>
      </w:r>
    </w:p>
    <w:p w14:paraId="104E96A8">
      <w:pPr>
        <w:keepNext w:val="0"/>
        <w:keepLines w:val="0"/>
        <w:pageBreakBefore w:val="0"/>
        <w:numPr>
          <w:ilvl w:val="0"/>
          <w:numId w:val="2"/>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预决算信息公开</w:t>
      </w:r>
    </w:p>
    <w:p w14:paraId="3E2B864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按照深圳市教育局统一部署，已按规定内容、时限、范围等各项要求通过市局官网“政务公开”-“资金信息”-“财政预决算”栏向社会公开了2023年度预算信息、2022年度决算信息等会计信息资料，公开信息完整且内容清晰，切实履行部门预决算信息公开的责任，有效保障了预决算信息公开的透明度。</w:t>
      </w:r>
    </w:p>
    <w:p w14:paraId="6810C9B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2.项目管理</w:t>
      </w:r>
    </w:p>
    <w:p w14:paraId="64CC0DE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（1）项目实施程序</w:t>
      </w:r>
    </w:p>
    <w:p w14:paraId="526338D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严格按照《财务管理办法》制度执行，项目实施流程规范，招投标建设、验收等关键环节均严格把关，项目监管机制得到落实。出现项目调整时，我校也均按有关规定履行报批手续。项目经费支出均为已批复的项目预算，由项目经办部门提出支付申请，经财务部门审核后，按审批权限审批；项目预算调整均已上报，按程序审批办理。</w:t>
      </w:r>
    </w:p>
    <w:p w14:paraId="7FB33A7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（2）项目监管</w:t>
      </w:r>
    </w:p>
    <w:p w14:paraId="79EF8B8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按照《固定资产管理制度》《财务管理办法》《财务预算管理制度》等管理办法对项目资金执行及项目实施进行有效管理、监控。同时在2023年8月份开展了项目支出、部门整体绩效监控工作，对所有项目的资金运行情况、绩效目标实现程度等进行了检查、监控，并及时对资金执行进度低、绩效目标完成情况存在偏差的项目提出整改建议，并同步进行纠偏，确保项目实施达到预期效果。</w:t>
      </w:r>
    </w:p>
    <w:p w14:paraId="46B8778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3.资产管理</w:t>
      </w:r>
    </w:p>
    <w:p w14:paraId="6058458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（1）资产管理安全性</w:t>
      </w:r>
    </w:p>
    <w:p w14:paraId="141E0F8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制定了《固定资产管理制度》《财务管理办法》《财务预算管理制度》《自行采购项目招标工作（暂行）办法》等制度，我校针对资产的使用、保存、处置，明确规定负责采购、登记、清查等工作的具体科室，同时设置资产管理员，登记财务实物账、发放办公用品并定期清点单位财产，做到账物相符，确保单位资产不流失。截至2023年12月31日，我校资产合计为16，682.53万元，其中：流动资产1,702.08万元，非流动资产14,980.45万元。我校国有资源（资产）有偿使用收入12.4万元，其中：其他利息收入3.72万元、事业单位国有资产出租出借收入8.68万元，均按照规定及时、足额上缴国库。</w:t>
      </w:r>
    </w:p>
    <w:p w14:paraId="718BAE2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（2）固定资产利用率</w:t>
      </w:r>
    </w:p>
    <w:p w14:paraId="6DE5E01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2023年我校固定资产原值总额为26,639.39万元，实际在用原值总额为26,568.85万元，固定资产利用率99.74%，固定资产使用效率较高。</w:t>
      </w:r>
    </w:p>
    <w:p w14:paraId="744C125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4.人员管理</w:t>
      </w:r>
    </w:p>
    <w:p w14:paraId="55C1D59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截至2023年12月31日，我校核定编制数为315人（含工勤人员），实有在编人数298人（含工勤人员），购买服务人员50人，财政供养人员控制率为100%，编外人员控制率14.37%。</w:t>
      </w:r>
    </w:p>
    <w:p w14:paraId="6FFEEC4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5.制度管理</w:t>
      </w:r>
    </w:p>
    <w:p w14:paraId="2369907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（1）资金管理、财务制度管理方面</w:t>
      </w:r>
    </w:p>
    <w:p w14:paraId="323D3EF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建立了《固定资产管理制度》《财务管理办法》《财务预算管理制度》《自行采购项目招标工作（暂行）办法》《财务报废及处理制度》等一系列管理制度，基本涵盖内部控制预算管理、收支管理、政府采购管理、资产管理、建设项目管理、合同管理六大经济业务活动，部门职能履行与预算执行得以保障。</w:t>
      </w:r>
    </w:p>
    <w:p w14:paraId="4B722E4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（2）预算绩效管理工作方面</w:t>
      </w:r>
    </w:p>
    <w:p w14:paraId="3CD79C3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textAlignment w:val="auto"/>
        <w:rPr>
          <w:rFonts w:ascii="仿宋_GB2312" w:hAnsi="楷体_GB2312" w:eastAsia="仿宋_GB2312" w:cs="楷体_GB2312"/>
          <w:bCs/>
          <w:sz w:val="32"/>
          <w:szCs w:val="32"/>
        </w:rPr>
      </w:pPr>
      <w:r>
        <w:rPr>
          <w:rFonts w:hint="eastAsia" w:ascii="仿宋_GB2312" w:hAnsi="Adobe 楷体 Std R" w:eastAsia="仿宋_GB2312"/>
          <w:color w:val="000000"/>
          <w:sz w:val="32"/>
          <w:szCs w:val="32"/>
          <w:lang w:val="en-US" w:eastAsia="zh-CN"/>
        </w:rPr>
        <w:t>我校严格按照市财政局《市本级预算绩效管理工作要点》要求开展预算绩效管理开展事前评估、绩效目标编报、绩效监控、绩效评价和评价、结果应用等工作，预算绩效管理工作规范、有序。</w:t>
      </w:r>
    </w:p>
    <w:p w14:paraId="1C071FC4">
      <w:pPr>
        <w:keepNext w:val="0"/>
        <w:keepLines w:val="0"/>
        <w:pageBreakBefore w:val="0"/>
        <w:kinsoku/>
        <w:wordWrap/>
        <w:overflowPunct/>
        <w:topLinePunct w:val="0"/>
        <w:autoSpaceDE/>
        <w:autoSpaceDN/>
        <w:bidi w:val="0"/>
        <w:adjustRightInd/>
        <w:spacing w:line="58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二、部门主要履职绩效分析</w:t>
      </w:r>
    </w:p>
    <w:p w14:paraId="0172B586">
      <w:pPr>
        <w:keepNext w:val="0"/>
        <w:keepLines w:val="0"/>
        <w:pageBreakBefore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color w:val="000000"/>
          <w:kern w:val="0"/>
          <w:sz w:val="32"/>
          <w:szCs w:val="32"/>
        </w:rPr>
        <w:t>各部门要按照“部门职责—工作任务—预算项目”三个层级规范部门预算绩效管理结构，</w:t>
      </w:r>
      <w:r>
        <w:rPr>
          <w:rFonts w:hint="eastAsia" w:ascii="仿宋_GB2312" w:eastAsia="仿宋_GB2312"/>
          <w:sz w:val="32"/>
          <w:szCs w:val="32"/>
        </w:rPr>
        <w:t>结合本部门主要职责和年度重点工作任务，对预算使用绩效进行分析。可参照《部门整体支出绩效评价共性指标体系框架》（详见附件），结合部门履职实际增加个性类指标，进一步完善部门整体评价指标体系后进行评分评级，形成评价结果。分析内容包括但不限于以下几项：</w:t>
      </w:r>
    </w:p>
    <w:p w14:paraId="15F9292C">
      <w:pPr>
        <w:keepNext w:val="0"/>
        <w:keepLines w:val="0"/>
        <w:pageBreakBefore w:val="0"/>
        <w:numPr>
          <w:ilvl w:val="0"/>
          <w:numId w:val="3"/>
        </w:numPr>
        <w:kinsoku/>
        <w:wordWrap/>
        <w:overflowPunct/>
        <w:topLinePunct w:val="0"/>
        <w:autoSpaceDE/>
        <w:autoSpaceDN/>
        <w:bidi w:val="0"/>
        <w:adjustRightInd/>
        <w:spacing w:line="580" w:lineRule="exact"/>
        <w:ind w:left="0" w:leftChars="0" w:firstLine="640" w:firstLineChars="200"/>
        <w:textAlignment w:val="auto"/>
        <w:rPr>
          <w:rFonts w:ascii="楷体_GB2312" w:hAnsi="楷体" w:eastAsia="楷体_GB2312"/>
          <w:b/>
          <w:sz w:val="32"/>
          <w:szCs w:val="32"/>
        </w:rPr>
      </w:pPr>
      <w:r>
        <w:rPr>
          <w:rFonts w:hint="eastAsia" w:ascii="楷体_GB2312" w:hAnsi="楷体" w:eastAsia="楷体_GB2312"/>
          <w:b/>
          <w:sz w:val="32"/>
          <w:szCs w:val="32"/>
        </w:rPr>
        <w:t>主要履职目标</w:t>
      </w:r>
    </w:p>
    <w:p w14:paraId="0985CC2E">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1.发挥党建统领作用，促进学校工作的全面发展。</w:t>
      </w:r>
    </w:p>
    <w:p w14:paraId="540C8054">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2.加大教师队伍建设力度，推动学校民主治理进程。</w:t>
      </w:r>
    </w:p>
    <w:p w14:paraId="36A237C0">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3.提升绿色学堂效益，切实减轻学生负担并增强学习效果。</w:t>
      </w:r>
    </w:p>
    <w:p w14:paraId="184CBFC9">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4.加强五育互育的实施，提升德育文化的内涵。</w:t>
      </w:r>
    </w:p>
    <w:p w14:paraId="2428038A">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5.创新人才培养模式，助力学生全面发展。</w:t>
      </w:r>
    </w:p>
    <w:p w14:paraId="535E16FE">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6.提升后勤保障能力，建设高品质智慧校园。</w:t>
      </w:r>
    </w:p>
    <w:p w14:paraId="7A177ACE">
      <w:pPr>
        <w:keepNext w:val="0"/>
        <w:keepLines w:val="0"/>
        <w:pageBreakBefore w:val="0"/>
        <w:numPr>
          <w:ilvl w:val="0"/>
          <w:numId w:val="3"/>
        </w:numPr>
        <w:kinsoku/>
        <w:wordWrap/>
        <w:overflowPunct/>
        <w:topLinePunct w:val="0"/>
        <w:autoSpaceDE/>
        <w:autoSpaceDN/>
        <w:bidi w:val="0"/>
        <w:adjustRightInd/>
        <w:spacing w:line="580" w:lineRule="exact"/>
        <w:ind w:left="0" w:leftChars="0" w:firstLine="640" w:firstLineChars="200"/>
        <w:textAlignment w:val="auto"/>
        <w:rPr>
          <w:rFonts w:ascii="楷体_GB2312" w:hAnsi="楷体" w:eastAsia="楷体_GB2312"/>
          <w:b/>
          <w:sz w:val="32"/>
          <w:szCs w:val="32"/>
        </w:rPr>
      </w:pPr>
      <w:r>
        <w:rPr>
          <w:rFonts w:hint="eastAsia" w:ascii="楷体_GB2312" w:hAnsi="楷体" w:eastAsia="楷体_GB2312"/>
          <w:b/>
          <w:sz w:val="32"/>
          <w:szCs w:val="32"/>
        </w:rPr>
        <w:t>主要履职情况</w:t>
      </w:r>
    </w:p>
    <w:p w14:paraId="0B6E1594">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b/>
          <w:bCs/>
          <w:color w:val="000000"/>
          <w:sz w:val="32"/>
          <w:szCs w:val="32"/>
          <w:lang w:val="en-US" w:eastAsia="zh-CN"/>
        </w:rPr>
        <w:t>1.发挥党建统领作用，促进学校工作的全面发展。</w:t>
      </w:r>
      <w:r>
        <w:rPr>
          <w:rFonts w:hint="eastAsia" w:ascii="仿宋_GB2312" w:hAnsi="Adobe 楷体 Std R" w:eastAsia="仿宋_GB2312"/>
          <w:color w:val="000000"/>
          <w:sz w:val="32"/>
          <w:szCs w:val="32"/>
          <w:lang w:val="en-US" w:eastAsia="zh-CN"/>
        </w:rPr>
        <w:t>具体举措包括加强党员学习教育，创新党建活动形式，规范党组织建设，以及落实教育帮扶工作。组织党委会议15次，其他党组织会议74次。完成党委书记述职、述责述廉、支部书记述职和支部量化考核，完成年度党员民主评议。组织学校领导班子成员及各党支部书记讲专题党课18次，党委理论学习中心组开展专题学习班等10次。完成各支部成立及改选补选。组织了两次主题党日活动。</w:t>
      </w:r>
    </w:p>
    <w:p w14:paraId="4E454B48">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b/>
          <w:bCs/>
          <w:color w:val="000000"/>
          <w:sz w:val="32"/>
          <w:szCs w:val="32"/>
          <w:lang w:val="en-US" w:eastAsia="zh-CN"/>
        </w:rPr>
        <w:t>2.加大教师队伍建设力度，推动学校民主治理进程。</w:t>
      </w:r>
      <w:r>
        <w:rPr>
          <w:rFonts w:hint="eastAsia" w:ascii="仿宋_GB2312" w:hAnsi="Adobe 楷体 Std R" w:eastAsia="仿宋_GB2312"/>
          <w:color w:val="000000"/>
          <w:sz w:val="32"/>
          <w:szCs w:val="32"/>
          <w:lang w:val="en-US" w:eastAsia="zh-CN"/>
        </w:rPr>
        <w:t>这包括加强教师培训，优化教师招聘流程，完善职称评审和岗位聘任制度，提升科研驱动力，完善教代会制度，并加强重点工作的推进。本学期完成了2022年度职称评审，评审通过高级18人，中级9人。本学期完成了年度绩效考核奖方案制定和发放、学校章程修订审议和备案、学校制度汇编更新、八届一次教代会筹备、工会换届等工作。顺利完成了明远高中开学及搬迁工作，完成了明远高中法人注册、购买教育服务人员招聘、编制机构申请、社保公积金账户开设、校园文化建设等工作，同时本学期向市教育局申报了集团化办学立项等工作。2023年10月在深圳设点进行了毕业生招聘，以及到8所高校进行了宣讲和招聘应届毕业生。</w:t>
      </w:r>
    </w:p>
    <w:p w14:paraId="2D406DBE">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b/>
          <w:bCs/>
          <w:color w:val="000000"/>
          <w:sz w:val="32"/>
          <w:szCs w:val="32"/>
          <w:lang w:val="en-US" w:eastAsia="zh-CN"/>
        </w:rPr>
        <w:t>3.提升绿色学堂效益，切实减轻学生负担并增强学习效果。</w:t>
      </w:r>
      <w:r>
        <w:rPr>
          <w:rFonts w:hint="eastAsia" w:ascii="仿宋_GB2312" w:hAnsi="Adobe 楷体 Std R" w:eastAsia="仿宋_GB2312"/>
          <w:color w:val="000000"/>
          <w:sz w:val="32"/>
          <w:szCs w:val="32"/>
          <w:lang w:val="en-US" w:eastAsia="zh-CN"/>
        </w:rPr>
        <w:t>本学期高中教学处严抓教学常规共完成线下巡课 85 节，线上巡课580节，初中教学处共完成线下巡课105节，线上巡课553节，被听课人数140人，覆盖了初高中所有学科。本学期两部教学处累计发布教学周报28期，相比较往年，各年级各学科教学常规方面进步显著（相比之前）。开展先锋行动赛课，高中先锋行动第一轮赛课共61名教师参加，第二轮赛课活动共有11人入围。初中先锋行动第一轮赛课共有79名老师参加，第二轮赛课活动共有14人入围。本学期高三年级参与市级联考4次。高三的老师们辛勤工作，高三课堂效率整体较高，高三老师们投入了大量的时间。期中考试后初中部在初一、初二年级开展了“每天一节体育课”活动，在原有3节课的基础上，增设了两节体育选项课。</w:t>
      </w:r>
    </w:p>
    <w:p w14:paraId="29C18123">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b/>
          <w:bCs/>
          <w:color w:val="000000"/>
          <w:sz w:val="32"/>
          <w:szCs w:val="32"/>
          <w:lang w:val="en-US" w:eastAsia="zh-CN"/>
        </w:rPr>
        <w:t>4.加强五育互育的实施，提升德育文化的内涵。</w:t>
      </w:r>
      <w:r>
        <w:rPr>
          <w:rFonts w:hint="eastAsia" w:ascii="仿宋_GB2312" w:hAnsi="Adobe 楷体 Std R" w:eastAsia="仿宋_GB2312"/>
          <w:color w:val="000000"/>
          <w:sz w:val="32"/>
          <w:szCs w:val="32"/>
          <w:lang w:val="en-US" w:eastAsia="zh-CN"/>
        </w:rPr>
        <w:t>这包括强化五育互育的实施，优化课后延时服务，加强心理健康和生命教育，提升德育文化内涵，以及深化学生自主管理。两部学生处每周举行全校升旗仪式，举办16次学生违纪专题教育学习班，营造积极向上的校园氛围。组织开展体育季和艺术季各项赛事和活动，进行了体育之夜和学长团之夜。两部学生处组织开展了高一年级和初一年级军训，增强了学生国防观念和行为纪律规范。组织开展名家讲座、作家沙龙等“深二实大讲堂”活动5次，开展了“家长学校为心赋能、助力高考”等讲座9次，邀请深圳著名心理教育专家蒋平、王秋英，助力学生心理健康辅导。两部学生处各出版德育周报20期，开展了主题“我与祖国共奋进做文明学生，创绿色校园”班级黑板报评比活动。顺利通过深圳市中小学德育特色学校评估，荣获广东省绿色校园称号，深圳市首批劳动教育示范校称号。学生社团开展了招新宣传活动，完成了“深二实缤纷社团”13个视频拍摄、制作、发布。</w:t>
      </w:r>
    </w:p>
    <w:p w14:paraId="0AD2B192">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b/>
          <w:bCs/>
          <w:color w:val="000000"/>
          <w:sz w:val="32"/>
          <w:szCs w:val="32"/>
          <w:lang w:val="en-US" w:eastAsia="zh-CN"/>
        </w:rPr>
        <w:t>5.创新人才培养模式，助力学生全面发展。</w:t>
      </w:r>
      <w:r>
        <w:rPr>
          <w:rFonts w:hint="eastAsia" w:ascii="仿宋_GB2312" w:hAnsi="Adobe 楷体 Std R" w:eastAsia="仿宋_GB2312"/>
          <w:color w:val="000000"/>
          <w:sz w:val="32"/>
          <w:szCs w:val="32"/>
          <w:lang w:val="en-US" w:eastAsia="zh-CN"/>
        </w:rPr>
        <w:t>具体措施包括加强科技课程建设，加快校外科技教育基地建设，强化特色团队建设，打造精品学生社团，以及加强信息化教学资源建设。2023届艺术生联考100%高分过线。在2023届艺术类专业校考中，我校艺术类各专业全面突破，均获得中字头顶尖艺术院校校考合格证，深二实学子们收获了来自北京电影学院、中央美术学院等各大顶尖艺术院校艺考合格证。校足球队第四次蝉联全国青少年五人制足球比赛冠军；校毽球队在中华人民共和国第一届学生（青年）运动会校园组毽球项目比赛中，为广东省代表团斩获5金3银2铜；高中女篮在2023第十九届中国中学生篮球锦标赛（高中女子组）中获全国亚军，在第三届粤港澳大湾区中学生校园篮球冠军邀请赛中，深二实包揽初中男子组、初中女子组、高中男子组、高中女子组4项冠军。各学科竞赛团队组织高一、高二40名优秀学生参加寒假竞赛拓展课程。我校学生获国际“互联网+”大学生创业大赛萌芽赛道深圳选拔赛决赛一等奖。陈俊翰老师指导学生获2023世界机器人大赛TAI智慧城市全能挑战赛深圳市选拔赛一等奖。</w:t>
      </w:r>
    </w:p>
    <w:p w14:paraId="4EF20FDF">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ascii="仿宋_GB2312" w:eastAsia="仿宋_GB2312"/>
          <w:sz w:val="32"/>
          <w:szCs w:val="32"/>
        </w:rPr>
      </w:pPr>
      <w:r>
        <w:rPr>
          <w:rFonts w:hint="eastAsia" w:ascii="仿宋_GB2312" w:hAnsi="Adobe 楷体 Std R" w:eastAsia="仿宋_GB2312"/>
          <w:b/>
          <w:bCs/>
          <w:color w:val="000000"/>
          <w:sz w:val="32"/>
          <w:szCs w:val="32"/>
          <w:lang w:val="en-US" w:eastAsia="zh-CN"/>
        </w:rPr>
        <w:t>6.提升后勤保障能力，建设高品质智慧校园。</w:t>
      </w:r>
      <w:r>
        <w:rPr>
          <w:rFonts w:hint="eastAsia" w:ascii="仿宋_GB2312" w:hAnsi="Adobe 楷体 Std R" w:eastAsia="仿宋_GB2312"/>
          <w:color w:val="000000"/>
          <w:sz w:val="32"/>
          <w:szCs w:val="32"/>
          <w:lang w:val="en-US" w:eastAsia="zh-CN"/>
        </w:rPr>
        <w:t>我们将精细化各类后勤保障工作，全面提升财务、物业、消防、食堂等服务标准和质量，提升后勤服务人员的综合素质、服务意识和服务质量。同时，加强安全管理和资源配置，树立生命至上的理念。具体措施包括落实安全工作机制，树立安全生产意识，科学执行财务预算，确保食品安全，开设食堂课程，加快校园建设，以及打造高品质智慧校园。</w:t>
      </w:r>
    </w:p>
    <w:p w14:paraId="2CA52B4C">
      <w:pPr>
        <w:keepNext w:val="0"/>
        <w:keepLines w:val="0"/>
        <w:pageBreakBefore w:val="0"/>
        <w:numPr>
          <w:ilvl w:val="0"/>
          <w:numId w:val="3"/>
        </w:numPr>
        <w:kinsoku/>
        <w:wordWrap/>
        <w:overflowPunct/>
        <w:topLinePunct w:val="0"/>
        <w:autoSpaceDE/>
        <w:autoSpaceDN/>
        <w:bidi w:val="0"/>
        <w:adjustRightInd/>
        <w:spacing w:line="580" w:lineRule="exact"/>
        <w:ind w:left="0" w:leftChars="0" w:firstLine="640" w:firstLineChars="200"/>
        <w:textAlignment w:val="auto"/>
        <w:rPr>
          <w:rFonts w:ascii="楷体_GB2312" w:hAnsi="楷体" w:eastAsia="楷体_GB2312"/>
          <w:b/>
          <w:sz w:val="32"/>
          <w:szCs w:val="32"/>
        </w:rPr>
      </w:pPr>
      <w:r>
        <w:rPr>
          <w:rFonts w:hint="eastAsia" w:ascii="楷体_GB2312" w:hAnsi="楷体" w:eastAsia="楷体_GB2312"/>
          <w:b/>
          <w:sz w:val="32"/>
          <w:szCs w:val="32"/>
        </w:rPr>
        <w:t>部门履职绩效情况</w:t>
      </w:r>
    </w:p>
    <w:p w14:paraId="0EA165DE">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1.经济性</w:t>
      </w:r>
    </w:p>
    <w:p w14:paraId="3FE41BF0">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（1）“三公”经费控制率</w:t>
      </w:r>
    </w:p>
    <w:p w14:paraId="6A9D7D91">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2023年度“三公”经费预算安排18.00万元，即公务用车购置及运行维护费预算为18.00万元，“三公”经费实际支出17.99万元，即公务用车运行维护费支出为17.99万元，“三公”经费控制率为99.93%，“三公”经费控制程度未达到市财政考核要求“日常公用经费控制率＜90%”的满分标准。</w:t>
      </w:r>
    </w:p>
    <w:p w14:paraId="00EE57FC">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（2）日常公用经费控制率</w:t>
      </w:r>
    </w:p>
    <w:p w14:paraId="027EE708">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我校2023年度日常公用经费调整预算数1,755.68万元，日常公用经费决算数为1,749.66万元，日常公用经费控制率为99.66%，日常公用经费控制程度未达到市财政考核要求“日常公用经费控制率＜90%”的满分标准。</w:t>
      </w:r>
    </w:p>
    <w:p w14:paraId="4EEFA901">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2.效率性</w:t>
      </w:r>
    </w:p>
    <w:p w14:paraId="71A58AA5">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2023年度，我校全年预算总额22,079.01万元，全年支出数为21,814.21万元，总执行率为98.8%。由于第1-4季度资金数据来源于预算执行情况表，但决算报表与预算执行情况表数据有差异，此处各季度预算执行情况分析仅根据预算执行情况表进行分析，具体如下：一季度，累计支出5,680.85万元，总预算21,030.14万元，支出进度为27.01%，季度序时进度25%，季度预算执行率为108.05%。二季度，累计支出10,482.64万元，总预算20,468.20万元，支出进度为51.21%，季度序时进度50%，季度预算执行率为102.43%。三季度，累计支出15,615.84万元，总预算21,196.13万元，支出进度为73.67%，季度序时进度75%，季度预算执行率为98.23%。四季度，累计支出21,793.21万元，总预算22,057.83万元，支出进度为98.80%，季度序时进度100%，季度预算执行率为98.80%
全年平均执行率=（108.05%+102.43%+98.23%+98.80%）÷4=101.88%。2023年度，我校部门预算安排的项目共212个项目，部门预算安排的项目均能按照年初设定的计划执行，项目完成情况良好。各项目管理者负责检查并掌握项目实际进度信息，在进度落后的情况下，全面分析项目进度延迟原因，并采取相应措施进行弥补，从而确保预算安排的项目皆能按计划、合同以及实施方案规定的时间完成。</w:t>
      </w:r>
    </w:p>
    <w:p w14:paraId="1996E00A">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3.效果性</w:t>
      </w:r>
    </w:p>
    <w:p w14:paraId="4C56384B">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（1）社会效益方面</w:t>
      </w:r>
    </w:p>
    <w:p w14:paraId="4FC98E65">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首先，学校通过不断创新宣传工作，提高了社会知名度和影响力。通过公众号推文发布、短视频制作、征文评选、招生宣讲等多样化的宣传手段，学校成功吸引了大量学生和家长的关注。同时，校园开放日活动的成功举办，更是让社会各界对学校有了更加直观和深入地了解，进一步提升了学校的品牌形象。其次，学校在精细管理和队伍专业发展方面所取得的成果，为提升教学质量和育人效果奠定了坚实基础。通过完成职称评审、绩效考核奖方案制定、学校章程修订等工作，学校进一步规范了内部管理，激发了教职工的工作热情。同时，招聘优秀毕业生、开展青年教师成长营等活动，为教师队伍注入了新的活力，提高了整体教学水平。
此外，学校在教学常规落实和课堂效果提升方面的努力，也取得了显著成效。通过严抓教学常规、开展先锋行动赛课、参与市级联考等措施，学校确保了教学质量稳步提升，为学生提供了优质的教育资源。特别是高三年级老师们的辛勤付出和高效课堂，赢得了学生和家长的广泛赞誉。在德育活动和学生综合素质培养方面，学校同样取得了突出成绩。通过举办升旗仪式、违纪专题教育学习班、体育季和艺术季等活动，学校营造了积极向上的校园氛围，促进了学生全面发展。同时，邀请名家讲座、开展心理健康辅导等活动，也进一步丰富了学生的精神文化生活，提升了他们的综合素质。最后，在艺体团队和科技创新方面，学校的表现同样精彩纷呈。艺术生联考的高分过线率、艺术类专业校考的全面突破以及艺术季系列活动的成功举办，都展示了学校在艺术教育领域的卓越实力。而科技创新方面的硕果累累，则体现了学校对培养学生创新精神和实践能力的重视。</w:t>
      </w:r>
    </w:p>
    <w:p w14:paraId="7F16911D">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（2）可持续影响方面</w:t>
      </w:r>
    </w:p>
    <w:p w14:paraId="15EA4122">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一是持续提升学校知名度。学校在宣传工作上的不断创新，不仅提升了学校的知名度，更构建了与社会各界长期互动与合作的桥梁。通过公众号推文、短视频等多种形式的宣传，学校成功吸引了更多家长、学生和社会的关注，为学校的未来发展奠定了坚实的基础。同时，这也为学校与各类机构、媒体平台的合作创造了更多可能，进一步扩大了学校的社会影响力。二是持续提升教学质量。学校在精细管理和队伍专业发展方面的努力，确保了教育教学质量的持续提升。通过职称评审、绩效考核等制度的完善，学校激发了教职工的工作热情，提升了他们的专业素养。新教师的招聘和青年教师的培训，为教师队伍注入了新的活力，提高了整体的教学水平。这些举措不仅有助于学校当前的教学工作，更为学校的长远发展提供了有力的人才保障。在教学常规和教学质量的提升方面，学校所取得的成果同样具有深远的可持续影响。通过严抓教学常规、开展先锋行动赛课等措施，学校确保了教学质量的稳步提升，为学生提供了优质的教育资源。这不仅有助于学生在当前阶段取得优异的成绩，更为他们的未来发展奠定了坚实的基础。三是促进学校全面发展。学校在德育活动和校园文化建设方面的投入，也产生了深远的可持续影响。通过举办升旗仪式、违纪专题教育学习班等活动，学校营造了积极向上的校园氛围，促进了学生的全面发展。在艺体团队和科技创新方面的成果，更是体现了学校可持续影响的深远性。科技创新的硕果累累，展示了学校在培养学生创新精神和实践能力方面的显著成效，为学生未来的科技创新之路奠定了坚实的基础。</w:t>
      </w:r>
    </w:p>
    <w:p w14:paraId="0E378BC0">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（3）生态效益方面</w:t>
      </w:r>
    </w:p>
    <w:p w14:paraId="56E3BAA9">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一是保护生态环境。利用课程、集会活动，在全校师生员工中进行生态环境保护教育，利用邻近东湖公园的便利条件，在师生享受原生态环境的基础上，强化环境保护意识。加强绿化管理与建设，绿化校园、美化校园，建设生态校园，校园绿化率较高。利用绿植摆放，提高室内生态环境水平。借助厕所革命工作，提高校园卫生水平，师生的生活、生态环境得到极大提高；二是资源利用方面。新的校园利用太阳能热水系统、充电桩系统、雨水回收系统，最大限度使用自然资源，极大降低能源消耗。加强能源管理，做到人走灯灭，加强节能改造，做到资源绝不浪费。加强能源使用监控，绝不浪费一度电、一滴水。学校资源利用率得到极大提高。</w:t>
      </w:r>
    </w:p>
    <w:p w14:paraId="1E0444A4">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4.公平性</w:t>
      </w:r>
    </w:p>
    <w:p w14:paraId="06873EE5">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ascii="仿宋_GB2312" w:eastAsia="仿宋_GB2312"/>
          <w:sz w:val="32"/>
          <w:szCs w:val="32"/>
        </w:rPr>
      </w:pPr>
      <w:r>
        <w:rPr>
          <w:rFonts w:hint="eastAsia" w:ascii="仿宋_GB2312" w:hAnsi="Adobe 楷体 Std R" w:eastAsia="仿宋_GB2312"/>
          <w:color w:val="000000"/>
          <w:sz w:val="32"/>
          <w:szCs w:val="32"/>
          <w:lang w:val="en-US" w:eastAsia="zh-CN"/>
        </w:rPr>
        <w:t>一是群众信访办理情况。依据《国家信访条例》《信访事项网上办理工作规程（试行）》、《广东省信访条例》《关于印发&lt;广东省依法分类处理信访诉求工作办法&gt;实施细则的通知》，结合实际，2023年1月至12月份虽未出现涉及我单位管辖范围的信访案件。二是公众或服务对象满意度情况。2023年度，我校共开展
“对校园环境的满意度”、“对师德师行风建设的满意程度”、“对学校教学管理及课程安排的满意程度”、“对学校教书育人、管理育人、服务育人工作的满意程度”等主题的满意度问卷调查，共调查了230人，总体对我校教育满意度为92.78%，其中对师德师行风建设满意度达94.61%，对校园环境的满意度达94%，总体满意度为93.28%。</w:t>
      </w:r>
    </w:p>
    <w:p w14:paraId="0D792BFB">
      <w:pPr>
        <w:keepNext w:val="0"/>
        <w:keepLines w:val="0"/>
        <w:pageBreakBefore w:val="0"/>
        <w:kinsoku/>
        <w:wordWrap/>
        <w:overflowPunct/>
        <w:topLinePunct w:val="0"/>
        <w:autoSpaceDE/>
        <w:autoSpaceDN/>
        <w:bidi w:val="0"/>
        <w:adjustRightInd/>
        <w:spacing w:line="58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 xml:space="preserve"> 三、总体评价和整改措施</w:t>
      </w:r>
    </w:p>
    <w:p w14:paraId="3C783699">
      <w:pPr>
        <w:keepNext w:val="0"/>
        <w:keepLines w:val="0"/>
        <w:pageBreakBefore w:val="0"/>
        <w:numPr>
          <w:ilvl w:val="0"/>
          <w:numId w:val="4"/>
        </w:numPr>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b/>
          <w:bCs/>
          <w:sz w:val="32"/>
          <w:szCs w:val="32"/>
        </w:rPr>
      </w:pPr>
      <w:r>
        <w:rPr>
          <w:rFonts w:hint="eastAsia" w:ascii="仿宋_GB2312" w:eastAsia="仿宋_GB2312"/>
          <w:b/>
          <w:bCs/>
          <w:sz w:val="32"/>
          <w:szCs w:val="32"/>
        </w:rPr>
        <w:t>预算绩效管理工作主要经验、做法。</w:t>
      </w:r>
    </w:p>
    <w:p w14:paraId="3128167C">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我校在编制年度预算时对部门整体绩效目标能够将资金分配与年度任务安排相结合，在整体上把握财政资金流向，对重点项目有意识地进行倾斜；预算执行过程中定期进行监督并对支出异常情况进行必要预警与提示，同时对所有业务范围涉及的项目进行绩效运行监控，保证了对预算执行进度和绩效目标程度实施“双监控”，做到预算编制有目标、预算执行有监控、项目完成有评价、评价结果有反馈、反馈结果有运用的预算管理模式。</w:t>
      </w:r>
    </w:p>
    <w:p w14:paraId="4EC2FB2D">
      <w:pPr>
        <w:keepNext w:val="0"/>
        <w:keepLines w:val="0"/>
        <w:pageBreakBefore w:val="0"/>
        <w:numPr>
          <w:ilvl w:val="0"/>
          <w:numId w:val="4"/>
        </w:numPr>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b/>
          <w:bCs/>
          <w:sz w:val="32"/>
          <w:szCs w:val="32"/>
        </w:rPr>
      </w:pPr>
      <w:r>
        <w:rPr>
          <w:rFonts w:hint="eastAsia" w:ascii="仿宋_GB2312" w:eastAsia="仿宋_GB2312"/>
          <w:b/>
          <w:bCs/>
          <w:sz w:val="32"/>
          <w:szCs w:val="32"/>
        </w:rPr>
        <w:t>部门整体支出绩效存在问题及改进措施。</w:t>
      </w:r>
    </w:p>
    <w:p w14:paraId="293AE5D1">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1.存在问题</w:t>
      </w:r>
    </w:p>
    <w:p w14:paraId="1625D565">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（1）公用经费控制有待加强</w:t>
      </w:r>
    </w:p>
    <w:p w14:paraId="3FF7D4D8">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校2023年度“三公”经费预算安排18.00万元，“三公”经费实际支出17.99万元，“三公”经费控制率为99.93%，“三公”经费控制程度未达到市财政考核要求“日常公用经费控制率＜90%”的满分标准，此项扣1分。我校日常公用经费预算安排1,755.68万元，实际支出1,749.66万元，日常公用经费控制率为99.66%，日常公用经费控制程度未达到市财政考核要求“日常公用经费控制率＜90%”的满分标准，此项扣1分。</w:t>
      </w:r>
    </w:p>
    <w:p w14:paraId="74CFB642">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（2）公民满意度有待加强
</w:t>
      </w:r>
    </w:p>
    <w:p w14:paraId="3843D43A">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2023年度，我校共开展“对校园环境的满意度”、“对师德师行风建设的满意程度”、“对学校教学管理及课程安排的满意程度”、“对学校教书育人、管理育人、服务育人工作的满意程度”等主题的满意度问卷调查，共调查了230人，总体对我校教育满意度为92.78%，其中对师德师行风建设满意度达94.61%，对校园环境的满意度达94%，公众满意度较高。但总体满意度为93.28%，未达到“满意度≥95%得满分”的标准，此项扣2分。</w:t>
      </w:r>
    </w:p>
    <w:p w14:paraId="1285B64A">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2.改进措施</w:t>
      </w:r>
    </w:p>
    <w:p w14:paraId="7C4D21A0">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（1）提高预算绩效的经济性，降低公用经费的控制率</w:t>
      </w:r>
    </w:p>
    <w:p w14:paraId="1DE54660">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根据部门整体支出绩效评价标准，“三公”经费和日常公用经费控制率＜90%得满分。需强化公用经费支出把控，提升经费支出效益，进一步强化公用经费支出把控，坚持从严从简，坚持总量控制，实事求是，科学设定相关标准，严格控制经费支出总额，在保证正常履职的前提下勤俭办一切活动，降低公务活动成本。梳理公用经费支出项目，判断哪一工作环节能进一步压减经费开支，从而对症下药，压减该部分经费支出，尤其严控“三公”经费支出，提升公用经费控制力度。同时，继续贯彻落实“厉行节约”，通过加强宣导，动员各处室严格贯彻“厉行节约”原则。</w:t>
      </w:r>
    </w:p>
    <w:p w14:paraId="47047FA1">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（2）强化部门履职能力，提升公民满意度</w:t>
      </w:r>
    </w:p>
    <w:p w14:paraId="408EB6FC">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加大教师培训力度，提升教育教学水平。建立激励机制，鼓励教师创新教学方法。优化课程设置，根据学生需求调整课程内容，确保与时俱进，加强实践教学，提高学生实际操作能力。提升校园绿化、美化水平，营造舒适环境。丰富校园文化活动，提高学生归属感。</w:t>
      </w:r>
    </w:p>
    <w:p w14:paraId="214B4AF1">
      <w:pPr>
        <w:keepNext w:val="0"/>
        <w:keepLines w:val="0"/>
        <w:pageBreakBefore w:val="0"/>
        <w:numPr>
          <w:ilvl w:val="0"/>
          <w:numId w:val="4"/>
        </w:numPr>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b/>
          <w:bCs/>
          <w:sz w:val="32"/>
          <w:szCs w:val="32"/>
        </w:rPr>
      </w:pPr>
      <w:r>
        <w:rPr>
          <w:rFonts w:hint="eastAsia" w:ascii="仿宋_GB2312" w:eastAsia="仿宋_GB2312"/>
          <w:b/>
          <w:bCs/>
          <w:sz w:val="32"/>
          <w:szCs w:val="32"/>
        </w:rPr>
        <w:t>后续工作计划、相关建议等。</w:t>
      </w:r>
    </w:p>
    <w:p w14:paraId="2BB404B6">
      <w:pPr>
        <w:keepNext w:val="0"/>
        <w:keepLines w:val="0"/>
        <w:pageBreakBefore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全面加强党建工作与教学的融合，优化职称评聘与岗位聘任方案，提升教育教学效益并完善课程建设。通过校园开放日提升学校影响力，优化招生策略。继续举办重要活动，加强与高科技公司、高校的合作以培养创新人才。推进学生宿舍改造与食堂扩建，引领信息技术与教育教学的融合，加大科研力度并开展课题调研，同时开展应届毕业生招聘工作。</w:t>
      </w:r>
    </w:p>
    <w:p w14:paraId="57EE1B91">
      <w:pPr>
        <w:keepNext w:val="0"/>
        <w:keepLines w:val="0"/>
        <w:pageBreakBefore w:val="0"/>
        <w:kinsoku/>
        <w:wordWrap/>
        <w:overflowPunct/>
        <w:topLinePunct w:val="0"/>
        <w:autoSpaceDE/>
        <w:autoSpaceDN/>
        <w:bidi w:val="0"/>
        <w:adjustRightInd/>
        <w:spacing w:line="580" w:lineRule="exact"/>
        <w:ind w:left="0" w:leftChars="0" w:firstLine="640" w:firstLineChars="200"/>
        <w:textAlignment w:val="auto"/>
        <w:rPr>
          <w:rFonts w:hint="eastAsia" w:ascii="黑体" w:hAnsi="黑体" w:eastAsia="黑体"/>
          <w:b/>
          <w:bCs/>
          <w:sz w:val="32"/>
          <w:szCs w:val="32"/>
        </w:rPr>
      </w:pPr>
      <w:r>
        <w:rPr>
          <w:rFonts w:hint="eastAsia" w:ascii="黑体" w:hAnsi="黑体" w:eastAsia="黑体"/>
          <w:b/>
          <w:bCs/>
          <w:sz w:val="32"/>
          <w:szCs w:val="32"/>
        </w:rPr>
        <w:t>四、部门整体支出绩效评价指标评分情况</w:t>
      </w:r>
    </w:p>
    <w:p w14:paraId="61DA2DEC">
      <w:pPr>
        <w:keepNext w:val="0"/>
        <w:keepLines w:val="0"/>
        <w:pageBreakBefore w:val="0"/>
        <w:numPr>
          <w:ilvl w:val="0"/>
          <w:numId w:val="0"/>
        </w:numPr>
        <w:kinsoku/>
        <w:wordWrap/>
        <w:overflowPunct/>
        <w:topLinePunct w:val="0"/>
        <w:autoSpaceDE/>
        <w:autoSpaceDN/>
        <w:bidi w:val="0"/>
        <w:adjustRightInd/>
        <w:spacing w:line="580" w:lineRule="exact"/>
        <w:ind w:left="0" w:leftChars="0" w:firstLine="640" w:firstLineChars="200"/>
        <w:textAlignment w:val="auto"/>
        <w:rPr>
          <w:sz w:val="18"/>
          <w:szCs w:val="18"/>
        </w:rPr>
      </w:pPr>
      <w:r>
        <w:rPr>
          <w:rFonts w:hint="eastAsia" w:ascii="仿宋_GB2312" w:hAnsi="仿宋_GB2312" w:eastAsia="仿宋_GB2312" w:cs="仿宋_GB2312"/>
          <w:b w:val="0"/>
          <w:bCs w:val="0"/>
          <w:color w:val="auto"/>
          <w:kern w:val="2"/>
          <w:sz w:val="32"/>
          <w:szCs w:val="32"/>
          <w:highlight w:val="none"/>
          <w:lang w:eastAsia="zh-CN" w:bidi="ar-SA"/>
        </w:rPr>
        <w:t>我</w:t>
      </w:r>
      <w:r>
        <w:rPr>
          <w:rFonts w:hint="eastAsia" w:ascii="仿宋_GB2312" w:hAnsi="仿宋_GB2312" w:eastAsia="仿宋_GB2312" w:cs="仿宋_GB2312"/>
          <w:b w:val="0"/>
          <w:bCs w:val="0"/>
          <w:color w:val="auto"/>
          <w:kern w:val="2"/>
          <w:sz w:val="32"/>
          <w:szCs w:val="32"/>
          <w:highlight w:val="none"/>
          <w:lang w:val="en-US" w:eastAsia="zh-CN" w:bidi="ar-SA"/>
        </w:rPr>
        <w:t>单位</w:t>
      </w:r>
      <w:r>
        <w:rPr>
          <w:rFonts w:hint="eastAsia" w:ascii="仿宋_GB2312" w:hAnsi="仿宋_GB2312" w:eastAsia="仿宋_GB2312" w:cs="仿宋_GB2312"/>
          <w:b w:val="0"/>
          <w:bCs w:val="0"/>
          <w:color w:val="auto"/>
          <w:kern w:val="2"/>
          <w:sz w:val="32"/>
          <w:szCs w:val="32"/>
          <w:highlight w:val="none"/>
          <w:lang w:eastAsia="zh-CN" w:bidi="ar-SA"/>
        </w:rPr>
        <w:t>参照《</w:t>
      </w:r>
      <w:r>
        <w:rPr>
          <w:rFonts w:hint="eastAsia" w:ascii="仿宋_GB2312" w:hAnsi="仿宋_GB2312" w:eastAsia="仿宋_GB2312" w:cs="仿宋_GB2312"/>
          <w:b w:val="0"/>
          <w:bCs w:val="0"/>
          <w:color w:val="auto"/>
          <w:kern w:val="2"/>
          <w:sz w:val="32"/>
          <w:szCs w:val="32"/>
          <w:highlight w:val="none"/>
          <w:lang w:eastAsia="zh-Hans" w:bidi="ar-SA"/>
        </w:rPr>
        <w:t>部门整体支出绩效评价共性指标体系框架</w:t>
      </w:r>
      <w:r>
        <w:rPr>
          <w:rFonts w:hint="eastAsia" w:ascii="仿宋_GB2312" w:hAnsi="仿宋_GB2312" w:eastAsia="仿宋_GB2312" w:cs="仿宋_GB2312"/>
          <w:b w:val="0"/>
          <w:bCs w:val="0"/>
          <w:color w:val="auto"/>
          <w:kern w:val="2"/>
          <w:sz w:val="32"/>
          <w:szCs w:val="32"/>
          <w:highlight w:val="none"/>
          <w:lang w:eastAsia="zh-CN" w:bidi="ar-SA"/>
        </w:rPr>
        <w:t>》进行自评，此次绩效自评得分为</w:t>
      </w:r>
      <w:r>
        <w:rPr>
          <w:rFonts w:hint="eastAsia" w:ascii="仿宋_GB2312" w:hAnsi="仿宋_GB2312" w:eastAsia="仿宋_GB2312" w:cs="仿宋_GB2312"/>
          <w:b w:val="0"/>
          <w:bCs w:val="0"/>
          <w:color w:val="auto"/>
          <w:kern w:val="2"/>
          <w:sz w:val="32"/>
          <w:szCs w:val="32"/>
          <w:highlight w:val="none"/>
          <w:lang w:val="en-US" w:eastAsia="zh-CN" w:bidi="ar-SA"/>
        </w:rPr>
        <w:t>94.97</w:t>
      </w:r>
      <w:r>
        <w:rPr>
          <w:rFonts w:hint="eastAsia" w:ascii="仿宋_GB2312" w:hAnsi="仿宋_GB2312" w:eastAsia="仿宋_GB2312" w:cs="仿宋_GB2312"/>
          <w:b w:val="0"/>
          <w:bCs w:val="0"/>
          <w:color w:val="auto"/>
          <w:kern w:val="2"/>
          <w:sz w:val="32"/>
          <w:szCs w:val="32"/>
          <w:highlight w:val="none"/>
          <w:lang w:eastAsia="zh-CN" w:bidi="ar-SA"/>
        </w:rPr>
        <w:t>分，</w:t>
      </w:r>
      <w:r>
        <w:rPr>
          <w:rFonts w:hint="eastAsia" w:ascii="仿宋_GB2312" w:hAnsi="仿宋_GB2312" w:eastAsia="仿宋_GB2312" w:cs="仿宋_GB2312"/>
          <w:b w:val="0"/>
          <w:bCs w:val="0"/>
          <w:color w:val="auto"/>
          <w:kern w:val="2"/>
          <w:sz w:val="32"/>
          <w:szCs w:val="32"/>
          <w:highlight w:val="none"/>
          <w:lang w:eastAsia="zh-Hans" w:bidi="ar-SA"/>
        </w:rPr>
        <w:t>整体评价为“</w:t>
      </w:r>
      <w:r>
        <w:rPr>
          <w:rFonts w:hint="eastAsia" w:ascii="仿宋_GB2312" w:hAnsi="仿宋_GB2312" w:eastAsia="仿宋_GB2312" w:cs="仿宋_GB2312"/>
          <w:b w:val="0"/>
          <w:bCs w:val="0"/>
          <w:color w:val="auto"/>
          <w:kern w:val="2"/>
          <w:sz w:val="32"/>
          <w:szCs w:val="32"/>
          <w:highlight w:val="none"/>
          <w:lang w:val="en-US" w:eastAsia="zh-Hans" w:bidi="ar-SA"/>
        </w:rPr>
        <w:t>优</w:t>
      </w:r>
      <w:r>
        <w:rPr>
          <w:rFonts w:hint="eastAsia" w:ascii="仿宋_GB2312" w:hAnsi="仿宋_GB2312" w:eastAsia="仿宋_GB2312" w:cs="仿宋_GB2312"/>
          <w:b w:val="0"/>
          <w:bCs w:val="0"/>
          <w:color w:val="auto"/>
          <w:kern w:val="2"/>
          <w:sz w:val="32"/>
          <w:szCs w:val="32"/>
          <w:highlight w:val="none"/>
          <w:lang w:eastAsia="zh-Hans" w:bidi="ar-SA"/>
        </w:rPr>
        <w:t>”</w:t>
      </w:r>
      <w:r>
        <w:rPr>
          <w:rFonts w:hint="eastAsia" w:ascii="仿宋_GB2312" w:hAnsi="仿宋_GB2312" w:eastAsia="仿宋_GB2312" w:cs="仿宋_GB2312"/>
          <w:b w:val="0"/>
          <w:bCs w:val="0"/>
          <w:color w:val="auto"/>
          <w:kern w:val="2"/>
          <w:sz w:val="32"/>
          <w:szCs w:val="32"/>
          <w:highlight w:val="none"/>
          <w:lang w:eastAsia="zh-CN" w:bidi="ar-SA"/>
        </w:rPr>
        <w:t>。</w:t>
      </w:r>
    </w:p>
    <w:sectPr>
      <w:headerReference r:id="rId3" w:type="default"/>
      <w:footerReference r:id="rId4" w:type="default"/>
      <w:pgSz w:w="11906" w:h="16838"/>
      <w:pgMar w:top="1440" w:right="1587" w:bottom="1440" w:left="158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Adobe 楷体 Std R">
    <w:altName w:val="宋体"/>
    <w:panose1 w:val="00000000000000000000"/>
    <w:charset w:val="86"/>
    <w:family w:val="roman"/>
    <w:pitch w:val="default"/>
    <w:sig w:usb0="00000000" w:usb1="00000000" w:usb2="00000010"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4CC0">
    <w:pPr>
      <w:pStyle w:val="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C9A9C">
                          <w:pPr>
                            <w:pStyle w:val="3"/>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- 17 -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DC9A9C">
                    <w:pPr>
                      <w:pStyle w:val="3"/>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- 17 -</w:t>
                    </w:r>
                    <w:r>
                      <w:rPr>
                        <w:rStyle w:val="9"/>
                        <w:rFonts w:ascii="宋体" w:hAnsi="宋体"/>
                        <w:sz w:val="28"/>
                        <w:szCs w:val="28"/>
                      </w:rPr>
                      <w:fldChar w:fldCharType="end"/>
                    </w:r>
                  </w:p>
                </w:txbxContent>
              </v:textbox>
            </v:shape>
          </w:pict>
        </mc:Fallback>
      </mc:AlternateContent>
    </w:r>
  </w:p>
  <w:p w14:paraId="0566257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89417">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8780F"/>
    <w:multiLevelType w:val="singleLevel"/>
    <w:tmpl w:val="E7E8780F"/>
    <w:lvl w:ilvl="0" w:tentative="0">
      <w:start w:val="1"/>
      <w:numFmt w:val="chineseCounting"/>
      <w:suff w:val="nothing"/>
      <w:lvlText w:val="（%1）"/>
      <w:lvlJc w:val="left"/>
      <w:pPr>
        <w:ind w:left="0" w:firstLine="420"/>
      </w:pPr>
      <w:rPr>
        <w:rFonts w:hint="eastAsia"/>
        <w:b/>
      </w:rPr>
    </w:lvl>
  </w:abstractNum>
  <w:abstractNum w:abstractNumId="1">
    <w:nsid w:val="196D1E66"/>
    <w:multiLevelType w:val="singleLevel"/>
    <w:tmpl w:val="196D1E66"/>
    <w:lvl w:ilvl="0" w:tentative="0">
      <w:start w:val="1"/>
      <w:numFmt w:val="chineseCounting"/>
      <w:suff w:val="nothing"/>
      <w:lvlText w:val="（%1）"/>
      <w:lvlJc w:val="left"/>
      <w:pPr>
        <w:ind w:left="0" w:firstLine="420"/>
      </w:pPr>
      <w:rPr>
        <w:rFonts w:hint="eastAsia"/>
      </w:rPr>
    </w:lvl>
  </w:abstractNum>
  <w:abstractNum w:abstractNumId="2">
    <w:nsid w:val="3A4DB9CE"/>
    <w:multiLevelType w:val="singleLevel"/>
    <w:tmpl w:val="3A4DB9CE"/>
    <w:lvl w:ilvl="0" w:tentative="0">
      <w:start w:val="1"/>
      <w:numFmt w:val="chineseCounting"/>
      <w:suff w:val="nothing"/>
      <w:lvlText w:val="（%1）"/>
      <w:lvlJc w:val="left"/>
      <w:pPr>
        <w:ind w:left="0" w:firstLine="420"/>
      </w:pPr>
      <w:rPr>
        <w:rFonts w:hint="eastAsia"/>
        <w:b/>
      </w:rPr>
    </w:lvl>
  </w:abstractNum>
  <w:abstractNum w:abstractNumId="3">
    <w:nsid w:val="7806CA61"/>
    <w:multiLevelType w:val="singleLevel"/>
    <w:tmpl w:val="7806CA61"/>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zYTI3MWJhMjdiMTQyMjIyMDEzYjgwMmQ3MmY2ZTIifQ=="/>
  </w:docVars>
  <w:rsids>
    <w:rsidRoot w:val="007C6A8D"/>
    <w:rsid w:val="00015287"/>
    <w:rsid w:val="00072FB0"/>
    <w:rsid w:val="000757DF"/>
    <w:rsid w:val="000C1693"/>
    <w:rsid w:val="000C7F39"/>
    <w:rsid w:val="000D5ECC"/>
    <w:rsid w:val="00156F7B"/>
    <w:rsid w:val="00186083"/>
    <w:rsid w:val="001A4FCA"/>
    <w:rsid w:val="001E1A5E"/>
    <w:rsid w:val="001E702E"/>
    <w:rsid w:val="001F5AA4"/>
    <w:rsid w:val="00235966"/>
    <w:rsid w:val="002A7700"/>
    <w:rsid w:val="002E0FBC"/>
    <w:rsid w:val="00323B8D"/>
    <w:rsid w:val="0035757F"/>
    <w:rsid w:val="003577C2"/>
    <w:rsid w:val="00382649"/>
    <w:rsid w:val="00394B68"/>
    <w:rsid w:val="003B1900"/>
    <w:rsid w:val="003D5362"/>
    <w:rsid w:val="003F3BCB"/>
    <w:rsid w:val="00447BDD"/>
    <w:rsid w:val="004A3245"/>
    <w:rsid w:val="004B47F6"/>
    <w:rsid w:val="00510750"/>
    <w:rsid w:val="005530FC"/>
    <w:rsid w:val="00567EEA"/>
    <w:rsid w:val="0058344B"/>
    <w:rsid w:val="005A7B7C"/>
    <w:rsid w:val="005C793D"/>
    <w:rsid w:val="005D6FD8"/>
    <w:rsid w:val="006668F7"/>
    <w:rsid w:val="00670E00"/>
    <w:rsid w:val="006A08E5"/>
    <w:rsid w:val="006A0B18"/>
    <w:rsid w:val="006E2C6E"/>
    <w:rsid w:val="006F0724"/>
    <w:rsid w:val="007B1093"/>
    <w:rsid w:val="007C0C35"/>
    <w:rsid w:val="007C6A8D"/>
    <w:rsid w:val="007C77C0"/>
    <w:rsid w:val="007E03B1"/>
    <w:rsid w:val="007E16C0"/>
    <w:rsid w:val="007F11FC"/>
    <w:rsid w:val="0085384E"/>
    <w:rsid w:val="00866D4F"/>
    <w:rsid w:val="00886EBB"/>
    <w:rsid w:val="008C01DD"/>
    <w:rsid w:val="008C5E9F"/>
    <w:rsid w:val="008D3C34"/>
    <w:rsid w:val="00907B9F"/>
    <w:rsid w:val="009254A3"/>
    <w:rsid w:val="009374E9"/>
    <w:rsid w:val="0094704A"/>
    <w:rsid w:val="009803FA"/>
    <w:rsid w:val="009B6BB4"/>
    <w:rsid w:val="00A327AA"/>
    <w:rsid w:val="00AA5338"/>
    <w:rsid w:val="00AC140F"/>
    <w:rsid w:val="00AD4C3B"/>
    <w:rsid w:val="00AD7537"/>
    <w:rsid w:val="00AE1C2F"/>
    <w:rsid w:val="00AF093E"/>
    <w:rsid w:val="00B012E2"/>
    <w:rsid w:val="00B16374"/>
    <w:rsid w:val="00B9050E"/>
    <w:rsid w:val="00BB7A05"/>
    <w:rsid w:val="00BC3EF2"/>
    <w:rsid w:val="00BD192D"/>
    <w:rsid w:val="00C2157C"/>
    <w:rsid w:val="00C409C6"/>
    <w:rsid w:val="00C702B8"/>
    <w:rsid w:val="00CB6C81"/>
    <w:rsid w:val="00CB7FE9"/>
    <w:rsid w:val="00CC0E1B"/>
    <w:rsid w:val="00CC7C71"/>
    <w:rsid w:val="00CD69A4"/>
    <w:rsid w:val="00CE0B57"/>
    <w:rsid w:val="00D50E3A"/>
    <w:rsid w:val="00D86FE6"/>
    <w:rsid w:val="00DC002F"/>
    <w:rsid w:val="00DD1293"/>
    <w:rsid w:val="00E61598"/>
    <w:rsid w:val="00E975EF"/>
    <w:rsid w:val="00ED590D"/>
    <w:rsid w:val="00F05CC5"/>
    <w:rsid w:val="00F85BCF"/>
    <w:rsid w:val="00FA665A"/>
    <w:rsid w:val="025E172F"/>
    <w:rsid w:val="0B5A0540"/>
    <w:rsid w:val="0C726B66"/>
    <w:rsid w:val="0D361EA3"/>
    <w:rsid w:val="0DAD1D0D"/>
    <w:rsid w:val="0E5431E3"/>
    <w:rsid w:val="0F074DED"/>
    <w:rsid w:val="0F165DDC"/>
    <w:rsid w:val="10EC7752"/>
    <w:rsid w:val="151C2F00"/>
    <w:rsid w:val="156902B8"/>
    <w:rsid w:val="174025B9"/>
    <w:rsid w:val="17FC7E15"/>
    <w:rsid w:val="1F5D671F"/>
    <w:rsid w:val="2303614B"/>
    <w:rsid w:val="241203DA"/>
    <w:rsid w:val="241D0A0A"/>
    <w:rsid w:val="29C56527"/>
    <w:rsid w:val="2C6D1D88"/>
    <w:rsid w:val="2C797FDD"/>
    <w:rsid w:val="2D116A92"/>
    <w:rsid w:val="2F0D0804"/>
    <w:rsid w:val="32A32ADD"/>
    <w:rsid w:val="3725056C"/>
    <w:rsid w:val="37C42B71"/>
    <w:rsid w:val="390B70FC"/>
    <w:rsid w:val="39CB1D53"/>
    <w:rsid w:val="3D270F5B"/>
    <w:rsid w:val="3EB85CE5"/>
    <w:rsid w:val="468723DA"/>
    <w:rsid w:val="483D3166"/>
    <w:rsid w:val="4B4A4A52"/>
    <w:rsid w:val="4DF933A6"/>
    <w:rsid w:val="4E9C316B"/>
    <w:rsid w:val="4EB2480C"/>
    <w:rsid w:val="50C6356D"/>
    <w:rsid w:val="50FC598F"/>
    <w:rsid w:val="5294553A"/>
    <w:rsid w:val="59EB5DB9"/>
    <w:rsid w:val="5A3367C7"/>
    <w:rsid w:val="5FDF24B2"/>
    <w:rsid w:val="64DB76E4"/>
    <w:rsid w:val="64F84CFF"/>
    <w:rsid w:val="66420C45"/>
    <w:rsid w:val="73D2575F"/>
    <w:rsid w:val="749776B4"/>
    <w:rsid w:val="7AE709C5"/>
    <w:rsid w:val="7C0B7439"/>
    <w:rsid w:val="7D406316"/>
    <w:rsid w:val="7EC0622A"/>
    <w:rsid w:val="7FE8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字符"/>
    <w:basedOn w:val="8"/>
    <w:link w:val="2"/>
    <w:semiHidden/>
    <w:qFormat/>
    <w:uiPriority w:val="99"/>
    <w:rPr>
      <w:rFonts w:ascii="Times New Roman" w:hAnsi="Times New Roman" w:eastAsia="宋体" w:cs="Times New Roman"/>
      <w:sz w:val="18"/>
      <w:szCs w:val="18"/>
    </w:rPr>
  </w:style>
  <w:style w:type="character" w:customStyle="1" w:styleId="11">
    <w:name w:val="页眉 字符"/>
    <w:basedOn w:val="8"/>
    <w:link w:val="4"/>
    <w:semiHidden/>
    <w:qFormat/>
    <w:uiPriority w:val="99"/>
    <w:rPr>
      <w:rFonts w:ascii="Times New Roman" w:hAnsi="Times New Roman" w:eastAsia="宋体" w:cs="Times New Roman"/>
      <w:sz w:val="18"/>
      <w:szCs w:val="18"/>
    </w:rPr>
  </w:style>
  <w:style w:type="character" w:customStyle="1" w:styleId="12">
    <w:name w:val="页脚 字符"/>
    <w:basedOn w:val="8"/>
    <w:link w:val="3"/>
    <w:semiHidden/>
    <w:qFormat/>
    <w:uiPriority w:val="99"/>
    <w:rPr>
      <w:rFonts w:ascii="Times New Roman" w:hAnsi="Times New Roman" w:eastAsia="宋体" w:cs="Times New Roman"/>
      <w:sz w:val="18"/>
      <w:szCs w:val="18"/>
    </w:rPr>
  </w:style>
  <w:style w:type="character" w:customStyle="1" w:styleId="13">
    <w:name w:val="font41"/>
    <w:basedOn w:val="8"/>
    <w:qFormat/>
    <w:uiPriority w:val="0"/>
    <w:rPr>
      <w:rFonts w:hint="eastAsia" w:ascii="宋体" w:hAnsi="宋体" w:eastAsia="宋体" w:cs="宋体"/>
      <w:b/>
      <w:color w:val="FF0000"/>
      <w:sz w:val="22"/>
      <w:szCs w:val="22"/>
      <w:u w:val="none"/>
    </w:rPr>
  </w:style>
  <w:style w:type="character" w:customStyle="1" w:styleId="14">
    <w:name w:val="font61"/>
    <w:basedOn w:val="8"/>
    <w:qFormat/>
    <w:uiPriority w:val="0"/>
    <w:rPr>
      <w:rFonts w:hint="eastAsia" w:ascii="宋体" w:hAnsi="宋体" w:eastAsia="宋体" w:cs="宋体"/>
      <w:b/>
      <w:color w:val="000000"/>
      <w:sz w:val="22"/>
      <w:szCs w:val="22"/>
      <w:u w:val="none"/>
    </w:rPr>
  </w:style>
  <w:style w:type="character" w:customStyle="1" w:styleId="15">
    <w:name w:val="font21"/>
    <w:basedOn w:val="8"/>
    <w:qFormat/>
    <w:uiPriority w:val="0"/>
    <w:rPr>
      <w:rFonts w:hint="eastAsia" w:ascii="宋体" w:hAnsi="宋体" w:eastAsia="宋体" w:cs="宋体"/>
      <w:b/>
      <w:color w:val="000000"/>
      <w:sz w:val="22"/>
      <w:szCs w:val="22"/>
      <w:u w:val="none"/>
    </w:rPr>
  </w:style>
  <w:style w:type="character" w:customStyle="1" w:styleId="16">
    <w:name w:val="font3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9547</Words>
  <Characters>10225</Characters>
  <Lines>43</Lines>
  <Paragraphs>12</Paragraphs>
  <TotalTime>0</TotalTime>
  <ScaleCrop>false</ScaleCrop>
  <LinksUpToDate>false</LinksUpToDate>
  <CharactersWithSpaces>10228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2021-12-30T06:26:00Z</dcterms:created>
  <dc:creator>桂鑫</dc:creator>
  <cp:lastModifiedBy>简单</cp:lastModifiedBy>
  <dcterms:modified xsi:type="dcterms:W3CDTF">2024-10-15T10:57:21Z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4E2ACFD5CB2F42E097463F0D9BBB832A</vt:lpwstr>
  </property>
</Properties>
</file>